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8"/>
        </w:trPr>
        <w:tc>
          <w:tcPr>
            <w:tcW w:w="1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SEC Form 5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4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820" w:type="dxa"/>
            <w:vAlign w:val="bottom"/>
            <w:gridSpan w:val="23"/>
          </w:tcPr>
          <w:p>
            <w:pPr>
              <w:jc w:val="center"/>
              <w:ind w:right="4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gridSpan w:val="9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ind w:left="2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to Section 16. Form 4 or Form 5</w:t>
            </w:r>
          </w:p>
        </w:tc>
        <w:tc>
          <w:tcPr>
            <w:tcW w:w="6160" w:type="dxa"/>
            <w:vAlign w:val="bottom"/>
            <w:gridSpan w:val="20"/>
            <w:vMerge w:val="restart"/>
          </w:tcPr>
          <w:p>
            <w:pPr>
              <w:jc w:val="center"/>
              <w:ind w:left="105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ANNUAL STATEMENT OF CHANGES IN BENEFICIAL</w:t>
            </w: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160" w:type="dxa"/>
            <w:vAlign w:val="bottom"/>
            <w:gridSpan w:val="2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160" w:type="dxa"/>
            <w:vAlign w:val="bottom"/>
            <w:gridSpan w:val="20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300" w:type="dxa"/>
            <w:vAlign w:val="bottom"/>
            <w:gridSpan w:val="15"/>
            <w:vMerge w:val="restart"/>
          </w:tcPr>
          <w:p>
            <w:pPr>
              <w:jc w:val="center"/>
              <w:ind w:left="9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300" w:type="dxa"/>
            <w:vAlign w:val="bottom"/>
            <w:gridSpan w:val="1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300" w:type="dxa"/>
            <w:vAlign w:val="bottom"/>
            <w:gridSpan w:val="15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60" w:type="dxa"/>
            <w:vAlign w:val="bottom"/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JOSEPH GREGORY G</w:t>
              </w:r>
            </w:hyperlink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12"/>
          </w:tcPr>
          <w:p>
            <w:pPr>
              <w:spacing w:after="0" w:line="174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AMERICAN FINANCIAL GROUP INC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</w:p>
        </w:tc>
        <w:tc>
          <w:tcPr>
            <w:tcW w:w="15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 xml:space="preserve">AFG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</w:rPr>
              <w:t>]</w:t>
            </w: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restart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X</w:t>
            </w: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2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Statement for Issuer's Fiscal Year Ended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301 EAST FOURTH STREET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12/31/2022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60" w:type="dxa"/>
            <w:vAlign w:val="bottom"/>
            <w:gridSpan w:val="1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60" w:type="dxa"/>
            <w:vAlign w:val="bottom"/>
            <w:gridSpan w:val="1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CINCINNATI   OH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45202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60" w:type="dxa"/>
            <w:vAlign w:val="bottom"/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0" w:type="dxa"/>
            <w:vAlign w:val="bottom"/>
            <w:gridSpan w:val="12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80" w:type="dxa"/>
            <w:vAlign w:val="bottom"/>
            <w:tcBorders>
              <w:top w:val="single" w:sz="8" w:color="2C2C2C"/>
            </w:tcBorders>
            <w:gridSpan w:val="2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3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6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 Securities Acquired (A) 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20" w:type="dxa"/>
            <w:vAlign w:val="bottom"/>
            <w:gridSpan w:val="6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  <w:gridSpan w:val="6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020" w:type="dxa"/>
            <w:vAlign w:val="bottom"/>
            <w:gridSpan w:val="6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20" w:type="dxa"/>
            <w:vAlign w:val="bottom"/>
            <w:gridSpan w:val="6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4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left="2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42,940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54,477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#1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#2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8,032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#3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2,500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#4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left="2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2,175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#5 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6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left="2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#6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6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left="2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#7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6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left="2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#8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6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left="2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#9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6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ind w:right="3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left="2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#10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6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2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7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5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(A)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-7620</wp:posOffset>
            </wp:positionH>
            <wp:positionV relativeFrom="paragraph">
              <wp:posOffset>-8553450</wp:posOffset>
            </wp:positionV>
            <wp:extent cx="7044055" cy="85667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8566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Indirect #1: Held by a company in which the Reporting Person is a minority shareholder and for which he serves as an executive officer.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Indirect #2: Held by a family partnership in which the Reporting Person holds a 25% interest.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Indirect #3: Held by a company in which the Reporting Person is a minority shareholder and for which he serves as an executive officer.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Indirect #4: Held by a company in which the Reporting Person is a minority shareholder and for which he serves as a director.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Gregory G. Joseph By: Karl J.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02/10/2023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-27305</wp:posOffset>
            </wp:positionV>
            <wp:extent cx="133858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85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Grafe 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-16510</wp:posOffset>
            </wp:positionV>
            <wp:extent cx="1138555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85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5585460</wp:posOffset>
            </wp:positionH>
            <wp:positionV relativeFrom="paragraph">
              <wp:posOffset>-84455</wp:posOffset>
            </wp:positionV>
            <wp:extent cx="502285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0" w:gutter="0" w:footer="0" w:header="0"/>
        </w:sectPr>
      </w:pPr>
    </w:p>
    <w:bookmarkStart w:id="1" w:name="page2"/>
    <w:bookmarkEnd w:id="1"/>
    <w:p>
      <w:pPr>
        <w:jc w:val="both"/>
        <w:ind w:right="2480" w:firstLine="7"/>
        <w:spacing w:after="0" w:line="321" w:lineRule="auto"/>
        <w:tabs>
          <w:tab w:leader="none" w:pos="14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200"/>
      </w:cols>
      <w:pgMar w:left="500" w:top="125" w:right="11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8" Type="http://schemas.openxmlformats.org/officeDocument/2006/relationships/hyperlink" Target="http://www.sec.gov/cgi-bin/browse-edgar?action=getcompany&amp;CIK=0001223369" TargetMode="External"/><Relationship Id="rId9" Type="http://schemas.openxmlformats.org/officeDocument/2006/relationships/hyperlink" Target="http://www.sec.gov/cgi-bin/browse-edgar?action=getcompany&amp;CIK=0001042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2023-02-10T17:57:06Z</dcterms:created>
  <dcterms:modified xsi:type="dcterms:W3CDTF">2023-02-10T17:57:06Z</dcterms:modified>
</cp:coreProperties>
</file>