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jc w:val="center"/>
              <w:ind w:right="30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hours per response: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  <w:vMerge w:val="restart"/>
          </w:tcPr>
          <w:p>
            <w:pPr>
              <w:jc w:val="center"/>
              <w:ind w:left="9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Hertzman Brian S.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AMERICAN FINANCIAL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VP, CFO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301 E. FOURTH ST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6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1,853.8053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ESPP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43.372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DRIP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2,961.8969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RASP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32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-6323330</wp:posOffset>
            </wp:positionV>
            <wp:extent cx="7045960" cy="63366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3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owned by the reporting Person in the Issuer's Employee Stock Purchase Plan (the "ESPP"). All ESPP information reporting herein is based on a plan statement dated as of 12/31/2021.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held in the Company's Dividend Reinvestment Plan based on plan statement dated as of 12/31/2021.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4"/>
        <w:spacing w:after="0" w:line="254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amounts held by the Reporting Person in a retirement plan of the Issuer as of 12/31/2021. Each share is the economic equivalent of one share of common stock. The Reporting Person's account balance is distributed in cash following termination of employment.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Brian S. Hertzman by Karl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23495</wp:posOffset>
            </wp:positionV>
            <wp:extent cx="12547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Grafe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-19050</wp:posOffset>
            </wp:positionV>
            <wp:extent cx="11137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-85725</wp:posOffset>
            </wp:positionV>
            <wp:extent cx="49085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16887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2022-02-11T07:27:53Z</dcterms:created>
  <dcterms:modified xsi:type="dcterms:W3CDTF">2022-02-11T07:27:53Z</dcterms:modified>
</cp:coreProperties>
</file>